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5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Приложение 2.2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75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Условиям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интернет-эквайрингового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75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обслуживания клиентов АО «Россельхозбанк»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75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(приказ АО «Россельхозбанк» от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.20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________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675"/>
        <w:ind w:left="4678"/>
        <w:spacing w:after="0" w:line="240" w:lineRule="auto"/>
        <w:rPr>
          <w:rFonts w:ascii="Times New Roman" w:hAnsi="Times New Roman" w:eastAsia="Times New Roman" w:cs="Tahoma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i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i/>
          <w:sz w:val="20"/>
          <w:szCs w:val="20"/>
          <w:lang w:eastAsia="ru-RU"/>
        </w:rPr>
      </w:r>
    </w:p>
    <w:p>
      <w:pPr>
        <w:pStyle w:val="675"/>
        <w:ind w:left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ind w:firstLine="708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Перечень Клиентов и/или реализуемых Клиентами товаров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675"/>
        <w:ind w:firstLine="708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(работ, услуг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) в сети Интернет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675"/>
        <w:ind w:firstLine="708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не обслуживаемых Банком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675"/>
        <w:ind w:firstLine="708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ind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заключенного Договора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 обслуживаются</w:t>
      </w:r>
      <w:r>
        <w:rPr>
          <w:rStyle w:val="683"/>
          <w:rFonts w:ascii="Times New Roman" w:hAnsi="Times New Roman" w:eastAsia="Times New Roman"/>
          <w:sz w:val="24"/>
          <w:szCs w:val="24"/>
          <w:lang w:eastAsia="ru-RU"/>
        </w:rPr>
        <w:footnoteReference w:id="2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9"/>
        </w:numPr>
        <w:ind w:left="0" w:firstLine="709"/>
        <w:jc w:val="both"/>
        <w:spacing w:before="6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Клиенты, осуществляющие денежные переводы.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9"/>
        </w:numPr>
        <w:ind w:left="0" w:firstLine="709"/>
        <w:jc w:val="both"/>
        <w:spacing w:before="6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Клиенты, осуществляющие брокерскую, дилерскую деятельность, деятельность по управлению ценными бумагами без лицензии Центрального банка Росси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йской Федерации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предпринимательскую деятельность на рынке Forex (форекс-дилеры, предлагающие разного рода высокодоходные инвестиционные инструменты, услуги доверительного управления финансами, торговля «бинарными опционами»).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9"/>
        </w:numPr>
        <w:ind w:left="0" w:firstLine="709"/>
        <w:jc w:val="both"/>
        <w:spacing w:before="6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Клиенты, осуществляющие предпринимательскую деятельность, связанную с участием и проведением азартных игр и/или пари (казино, тотализатор, букмекерская деятельность, игорный бизнес, лотереи, аукционы), продажей табачных изделий и алкогольных напитков.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9"/>
        </w:numPr>
        <w:ind w:left="0" w:firstLine="709"/>
        <w:jc w:val="both"/>
        <w:spacing w:before="60"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Клиенты, имеющие недопустимый контент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принятия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на обслуживание Банком по заключаемому Сторонами Договору из следующего перечня: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  <w:tab w:val="num" w:pos="409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услуги коллекторских и долговых агентств;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  <w:tab w:val="num" w:pos="338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услуги получения наличных/бизнес-гарантий по чеку;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услуги финансовых пирамид, сетевой маркетинг;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или нарушение прав на интеллектуальную собственность;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баз данных, содержащих персональные данные;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распространение оскорбительных материалов и товаров, поощряющих незаконную деятельность или подстрекающих других к участию в незаконной деятельности;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предметов истории и искусства, составляющих культурные ценности страны;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порнография, контент сексуальной направленности;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ядов, наркотических средств и психотропных вещества;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лекарственных препаратов, отпускаемых по рецепту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родажа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лекарственных препаратов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 оплате картами платежной системы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VISA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эмитированных иностранными юридическими лицами;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лекарственного сырья, получаемого от северного оленеводства (панты и эндокринное сырье);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человеческих органов и останков;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государственных отличительных знаков, правительственных документов, униформ, правительственных удостоверений личности и лицензий, а также товаров, имеющих отношение к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государственным правоохранительным органам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/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контрафактных, фальсифицированных товаров/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(в т.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ч. реплик);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драгоценных и редкоземельных металлов, а также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отходов, содержащих драгоценные и редкоземельные металлы и драгоценные камни;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урана и других делящихся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радиоактивных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материалов и изделий из них;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приборов и оборудования с использованием радиоактивных веществ и изотопов, рентгеновского оборудования;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отходов радиоактивных материалов, взрывчатых веществ;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огнестрельного оружия и запасных частей к нему, боеприпасов, холодного оружия, которое запрещено правоохранительными органами, военной техники, взрывчатых веществ и средств взрывания,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боевых отравляющих веществ и средств защиты от них, ракетно-космических комплексов, систем связи и управления военного назначения, шифровальной техники, а также нормативно-технической документации на производство и эксплуатацию вышеперечисленных устройств;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результатов научно - исследовательских и проектных работ, а также фундаментальных поисковых исследований по созданию вооружения и военной техники;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5"/>
        </w:num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продажа специальных технических средств (разработанных, приспособленных, запрограммированных):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получения и регистрации акустической информации;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визуального наблюдения и документирования;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прослушивания телефонных переговоров;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перехвата и регистрации информации с технических каналов связи;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контроля, за перемещением транспортных средств и других объектов;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75"/>
        <w:numPr>
          <w:ilvl w:val="0"/>
          <w:numId w:val="7"/>
        </w:numPr>
        <w:ind w:left="0" w:firstLine="708"/>
        <w:jc w:val="both"/>
        <w:spacing w:after="0" w:line="240" w:lineRule="auto"/>
        <w:tabs>
          <w:tab w:val="left" w:pos="1134" w:leader="none"/>
          <w:tab w:val="clear" w:pos="1260" w:leader="none"/>
          <w:tab w:val="num" w:pos="198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негласного обследования помещений, транспортных средств и других объектов; а также, нормативно-технической документации на производство и использование этих средств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footnotePr>
        <w:numRestart w:val="continuous"/>
      </w:footnotePr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81"/>
        <w:jc w:val="both"/>
        <w:rPr>
          <w:lang w:val="ru-RU"/>
        </w:rPr>
      </w:pPr>
      <w:r>
        <w:rPr>
          <w:rStyle w:val="683"/>
        </w:rPr>
        <w:footnoteRef/>
      </w:r>
      <w:r>
        <w:t xml:space="preserve"> </w:t>
      </w:r>
      <w:r>
        <w:rPr>
          <w:color w:val="000000"/>
          <w:szCs w:val="24"/>
          <w:lang w:val="ru-RU"/>
        </w:rPr>
        <w:t xml:space="preserve">Указанный перечень не является окончательным и полным и Банк оставляет за собой право без объяснения причин отказать Клиенту в</w:t>
      </w:r>
      <w:r>
        <w:rPr>
          <w:color w:val="000000"/>
          <w:szCs w:val="24"/>
        </w:rPr>
        <w:t xml:space="preserve"> заключени</w:t>
      </w:r>
      <w:r>
        <w:rPr>
          <w:color w:val="000000"/>
          <w:szCs w:val="24"/>
          <w:lang w:val="ru-RU"/>
        </w:rPr>
        <w:t xml:space="preserve">и</w:t>
      </w:r>
      <w:r>
        <w:rPr>
          <w:color w:val="000000"/>
          <w:szCs w:val="24"/>
        </w:rPr>
        <w:t xml:space="preserve"> Договор</w:t>
      </w:r>
      <w:r>
        <w:rPr>
          <w:color w:val="000000"/>
          <w:szCs w:val="24"/>
          <w:lang w:val="ru-RU"/>
        </w:rPr>
        <w:t xml:space="preserve">а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ru-RU"/>
        </w:rPr>
        <w:t xml:space="preserve">при наличии </w:t>
      </w:r>
      <w:r>
        <w:rPr>
          <w:color w:val="000000"/>
          <w:szCs w:val="24"/>
        </w:rPr>
        <w:t xml:space="preserve">не предусмотренны</w:t>
      </w:r>
      <w:r>
        <w:rPr>
          <w:color w:val="000000"/>
          <w:szCs w:val="24"/>
          <w:lang w:val="ru-RU"/>
        </w:rPr>
        <w:t xml:space="preserve">х</w:t>
      </w:r>
      <w:r>
        <w:rPr>
          <w:color w:val="000000"/>
          <w:szCs w:val="24"/>
        </w:rPr>
        <w:t xml:space="preserve"> настоящим перечнем</w:t>
      </w:r>
      <w:r>
        <w:rPr>
          <w:color w:val="000000"/>
          <w:szCs w:val="24"/>
          <w:lang w:val="ru-RU"/>
        </w:rPr>
        <w:t xml:space="preserve"> условий</w:t>
      </w:r>
      <w:r>
        <w:rPr>
          <w:color w:val="000000"/>
          <w:szCs w:val="24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rFonts w:cs="Times New Roman"/>
        <w:color w:val="00000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214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  <w:tabs>
          <w:tab w:val="num" w:pos="12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339" w:hanging="360"/>
        <w:tabs>
          <w:tab w:val="num" w:pos="2339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59" w:hanging="360"/>
        <w:tabs>
          <w:tab w:val="num" w:pos="305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79" w:hanging="360"/>
        <w:tabs>
          <w:tab w:val="num" w:pos="377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99" w:hanging="360"/>
        <w:tabs>
          <w:tab w:val="num" w:pos="4499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19" w:hanging="360"/>
        <w:tabs>
          <w:tab w:val="num" w:pos="521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39" w:hanging="360"/>
        <w:tabs>
          <w:tab w:val="num" w:pos="593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59" w:hanging="360"/>
        <w:tabs>
          <w:tab w:val="num" w:pos="6659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79" w:hanging="360"/>
        <w:tabs>
          <w:tab w:val="num" w:pos="7379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968" w:hanging="360"/>
        <w:tabs>
          <w:tab w:val="num" w:pos="196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047" w:hanging="360"/>
        <w:tabs>
          <w:tab w:val="num" w:pos="3047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767" w:hanging="360"/>
        <w:tabs>
          <w:tab w:val="num" w:pos="37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487" w:hanging="360"/>
        <w:tabs>
          <w:tab w:val="num" w:pos="44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07" w:hanging="360"/>
        <w:tabs>
          <w:tab w:val="num" w:pos="5207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927" w:hanging="360"/>
        <w:tabs>
          <w:tab w:val="num" w:pos="59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647" w:hanging="360"/>
        <w:tabs>
          <w:tab w:val="num" w:pos="66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367" w:hanging="360"/>
        <w:tabs>
          <w:tab w:val="num" w:pos="7367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087" w:hanging="360"/>
        <w:tabs>
          <w:tab w:val="num" w:pos="8087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260" w:hanging="360"/>
        <w:tabs>
          <w:tab w:val="num" w:pos="1260" w:leader="none"/>
        </w:tabs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339" w:hanging="360"/>
        <w:tabs>
          <w:tab w:val="num" w:pos="2339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59" w:hanging="360"/>
        <w:tabs>
          <w:tab w:val="num" w:pos="305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79" w:hanging="360"/>
        <w:tabs>
          <w:tab w:val="num" w:pos="377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99" w:hanging="360"/>
        <w:tabs>
          <w:tab w:val="num" w:pos="4499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19" w:hanging="360"/>
        <w:tabs>
          <w:tab w:val="num" w:pos="521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39" w:hanging="360"/>
        <w:tabs>
          <w:tab w:val="num" w:pos="593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59" w:hanging="360"/>
        <w:tabs>
          <w:tab w:val="num" w:pos="6659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79" w:hanging="360"/>
        <w:tabs>
          <w:tab w:val="num" w:pos="7379" w:leader="none"/>
        </w:tabs>
      </w:pPr>
      <w:rPr>
        <w:rFonts w:ascii="Wingdings" w:hAnsi="Wingding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5"/>
    <w:next w:val="67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next w:val="675"/>
    <w:link w:val="67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76">
    <w:name w:val="Основной шрифт абзаца"/>
    <w:next w:val="676"/>
    <w:link w:val="675"/>
    <w:uiPriority w:val="1"/>
    <w:unhideWhenUsed/>
  </w:style>
  <w:style w:type="table" w:styleId="677">
    <w:name w:val="Обычная таблица"/>
    <w:next w:val="677"/>
    <w:link w:val="675"/>
    <w:uiPriority w:val="99"/>
    <w:semiHidden/>
    <w:unhideWhenUsed/>
    <w:tblPr/>
  </w:style>
  <w:style w:type="numbering" w:styleId="678">
    <w:name w:val="Нет списка"/>
    <w:next w:val="678"/>
    <w:link w:val="675"/>
    <w:uiPriority w:val="99"/>
    <w:semiHidden/>
    <w:unhideWhenUsed/>
  </w:style>
  <w:style w:type="paragraph" w:styleId="679">
    <w:name w:val="Нижний колонтитул"/>
    <w:basedOn w:val="675"/>
    <w:next w:val="679"/>
    <w:link w:val="6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680">
    <w:name w:val="Нижний колонтитул Знак"/>
    <w:next w:val="680"/>
    <w:link w:val="679"/>
    <w:uiPriority w:val="99"/>
    <w:rPr>
      <w:rFonts w:ascii="Times New Roman" w:hAnsi="Times New Roman" w:eastAsia="Times New Roman"/>
      <w:sz w:val="24"/>
      <w:szCs w:val="24"/>
      <w:lang w:val="en-US"/>
    </w:rPr>
  </w:style>
  <w:style w:type="paragraph" w:styleId="681">
    <w:name w:val="Текст сноски"/>
    <w:basedOn w:val="675"/>
    <w:next w:val="681"/>
    <w:link w:val="682"/>
    <w:semiHidden/>
    <w:pPr>
      <w:spacing w:after="0" w:line="240" w:lineRule="auto"/>
    </w:pPr>
    <w:rPr>
      <w:rFonts w:ascii="Times New Roman" w:hAnsi="Times New Roman" w:eastAsia="Times New Roman"/>
      <w:sz w:val="20"/>
      <w:szCs w:val="20"/>
      <w:lang w:val="en-US" w:eastAsia="ru-RU"/>
    </w:rPr>
  </w:style>
  <w:style w:type="character" w:styleId="682">
    <w:name w:val="Текст сноски Знак"/>
    <w:next w:val="682"/>
    <w:link w:val="681"/>
    <w:semiHidden/>
    <w:rPr>
      <w:rFonts w:ascii="Times New Roman" w:hAnsi="Times New Roman" w:eastAsia="Times New Roman"/>
      <w:lang w:val="en-US"/>
    </w:rPr>
  </w:style>
  <w:style w:type="character" w:styleId="683">
    <w:name w:val="Знак сноски"/>
    <w:next w:val="683"/>
    <w:link w:val="675"/>
    <w:rPr>
      <w:vertAlign w:val="superscript"/>
    </w:rPr>
  </w:style>
  <w:style w:type="paragraph" w:styleId="684">
    <w:name w:val="Абзац списка"/>
    <w:basedOn w:val="675"/>
    <w:next w:val="684"/>
    <w:link w:val="675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85">
    <w:name w:val="Основной текст 3"/>
    <w:basedOn w:val="675"/>
    <w:next w:val="685"/>
    <w:link w:val="686"/>
    <w:uiPriority w:val="99"/>
    <w:unhideWhenUsed/>
    <w:pPr>
      <w:spacing w:after="120" w:line="240" w:lineRule="auto"/>
    </w:pPr>
    <w:rPr>
      <w:rFonts w:ascii="Times New Roman" w:hAnsi="Times New Roman" w:eastAsia="Times New Roman"/>
      <w:sz w:val="16"/>
      <w:szCs w:val="16"/>
      <w:lang w:val="en-US" w:eastAsia="ru-RU"/>
    </w:rPr>
  </w:style>
  <w:style w:type="character" w:styleId="686">
    <w:name w:val="Основной текст 3 Знак"/>
    <w:next w:val="686"/>
    <w:link w:val="685"/>
    <w:uiPriority w:val="99"/>
    <w:rPr>
      <w:rFonts w:ascii="Times New Roman" w:hAnsi="Times New Roman" w:eastAsia="Times New Roman"/>
      <w:sz w:val="16"/>
      <w:szCs w:val="16"/>
      <w:lang w:val="en-US"/>
    </w:rPr>
  </w:style>
  <w:style w:type="paragraph" w:styleId="687">
    <w:name w:val="Текст выноски"/>
    <w:basedOn w:val="675"/>
    <w:next w:val="687"/>
    <w:link w:val="6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88">
    <w:name w:val="Текст выноски Знак"/>
    <w:next w:val="688"/>
    <w:link w:val="687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689">
    <w:name w:val="Верхний колонтитул"/>
    <w:basedOn w:val="675"/>
    <w:next w:val="689"/>
    <w:link w:val="69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0">
    <w:name w:val="Верхний колонтитул Знак"/>
    <w:next w:val="690"/>
    <w:link w:val="689"/>
    <w:uiPriority w:val="99"/>
    <w:rPr>
      <w:sz w:val="22"/>
      <w:szCs w:val="22"/>
      <w:lang w:eastAsia="en-US"/>
    </w:rPr>
  </w:style>
  <w:style w:type="character" w:styleId="691">
    <w:name w:val="Знак примечания"/>
    <w:next w:val="691"/>
    <w:link w:val="675"/>
    <w:uiPriority w:val="99"/>
    <w:semiHidden/>
    <w:unhideWhenUsed/>
    <w:rPr>
      <w:sz w:val="16"/>
      <w:szCs w:val="16"/>
    </w:rPr>
  </w:style>
  <w:style w:type="paragraph" w:styleId="692">
    <w:name w:val="Текст примечания"/>
    <w:basedOn w:val="675"/>
    <w:next w:val="692"/>
    <w:link w:val="693"/>
    <w:uiPriority w:val="99"/>
    <w:semiHidden/>
    <w:unhideWhenUsed/>
    <w:rPr>
      <w:sz w:val="20"/>
      <w:szCs w:val="20"/>
    </w:rPr>
  </w:style>
  <w:style w:type="character" w:styleId="693">
    <w:name w:val="Текст примечания Знак"/>
    <w:next w:val="693"/>
    <w:link w:val="692"/>
    <w:uiPriority w:val="99"/>
    <w:semiHidden/>
    <w:rPr>
      <w:lang w:eastAsia="en-US"/>
    </w:rPr>
  </w:style>
  <w:style w:type="paragraph" w:styleId="694">
    <w:name w:val="Тема примечания"/>
    <w:basedOn w:val="692"/>
    <w:next w:val="692"/>
    <w:link w:val="695"/>
    <w:uiPriority w:val="99"/>
    <w:semiHidden/>
    <w:unhideWhenUsed/>
    <w:rPr>
      <w:b/>
      <w:bCs/>
    </w:rPr>
  </w:style>
  <w:style w:type="character" w:styleId="695">
    <w:name w:val="Тема примечания Знак"/>
    <w:next w:val="695"/>
    <w:link w:val="694"/>
    <w:uiPriority w:val="99"/>
    <w:semiHidden/>
    <w:rPr>
      <w:b/>
      <w:bCs/>
      <w:lang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table" w:styleId="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OJSC AgriCulturalBank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Артем Владимирович</dc:creator>
  <cp:lastModifiedBy>brevda-aa</cp:lastModifiedBy>
  <cp:revision>4</cp:revision>
  <dcterms:created xsi:type="dcterms:W3CDTF">2023-10-17T07:36:00Z</dcterms:created>
  <dcterms:modified xsi:type="dcterms:W3CDTF">2025-09-16T17:43:38Z</dcterms:modified>
  <cp:version>1048576</cp:version>
</cp:coreProperties>
</file>